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FD" w:rsidRPr="00742762" w:rsidRDefault="00F900FD" w:rsidP="00F900FD">
      <w:pPr>
        <w:spacing w:line="256" w:lineRule="auto"/>
        <w:ind w:left="708" w:hanging="708"/>
        <w:jc w:val="both"/>
        <w:rPr>
          <w:b/>
          <w:i/>
          <w:iCs/>
        </w:rPr>
      </w:pPr>
      <w:r w:rsidRPr="00742762">
        <w:rPr>
          <w:b/>
          <w:i/>
          <w:iCs/>
        </w:rPr>
        <w:t>ANEXO IV</w:t>
      </w:r>
    </w:p>
    <w:p w:rsidR="00F900FD" w:rsidRPr="00742762" w:rsidRDefault="00F900FD" w:rsidP="00F900FD">
      <w:pPr>
        <w:spacing w:line="256" w:lineRule="auto"/>
        <w:ind w:left="708" w:hanging="708"/>
        <w:jc w:val="center"/>
        <w:rPr>
          <w:b/>
          <w:i/>
          <w:iCs/>
          <w:u w:val="single"/>
        </w:rPr>
      </w:pPr>
      <w:r w:rsidRPr="00742762">
        <w:rPr>
          <w:b/>
          <w:i/>
          <w:iCs/>
          <w:u w:val="single"/>
        </w:rPr>
        <w:t>COMPROMISO DE CUMPLIMIENTO DE PRINCIPIOS TRANSVERSALES</w:t>
      </w:r>
    </w:p>
    <w:p w:rsidR="00F900FD" w:rsidRPr="00742762" w:rsidRDefault="00F900FD" w:rsidP="00F900FD">
      <w:pPr>
        <w:spacing w:line="256" w:lineRule="auto"/>
        <w:jc w:val="both"/>
        <w:rPr>
          <w:b/>
          <w:i/>
          <w:iCs/>
        </w:rPr>
      </w:pPr>
      <w:r w:rsidRPr="00742762">
        <w:rPr>
          <w:b/>
          <w:i/>
          <w:iCs/>
        </w:rPr>
        <w:t>MODELO ANEXO IV. C. MODELO DECLARACIÓN DE COMPROMISO EN RELACIÓN CON LA EJECUCIÓN DE ACTUACIONES DEL PLAN DE RECUPERACIÓN, TRANSFORMACIÓN Y RESILIENCIA (PRTR). ORDEN HFP 1030/2021.</w:t>
      </w:r>
    </w:p>
    <w:p w:rsidR="00F900FD" w:rsidRPr="00742762" w:rsidRDefault="00F900FD" w:rsidP="00F900FD">
      <w:pPr>
        <w:suppressAutoHyphens/>
        <w:spacing w:before="120" w:after="120"/>
        <w:jc w:val="both"/>
        <w:rPr>
          <w:rFonts w:ascii="Calibri" w:eastAsia="Times New Roman" w:hAnsi="Calibri" w:cs="Calibri"/>
          <w:b/>
          <w:i/>
          <w:lang w:eastAsia="zh-CN" w:bidi="ar-IQ"/>
        </w:rPr>
      </w:pPr>
      <w:r w:rsidRPr="00742762">
        <w:rPr>
          <w:rFonts w:ascii="Calibri" w:hAnsi="Calibri" w:cs="Calibri"/>
          <w:b/>
          <w:i/>
        </w:rPr>
        <w:t xml:space="preserve">CONVOCATORIA DE SUBVENCIONES </w:t>
      </w:r>
      <w:r w:rsidRPr="00742762">
        <w:rPr>
          <w:rFonts w:ascii="Calibri" w:eastAsia="Times New Roman" w:hAnsi="Calibri" w:cs="Calibri"/>
          <w:b/>
          <w:i/>
          <w:lang w:eastAsia="zh-CN" w:bidi="ar-IQ"/>
        </w:rPr>
        <w:t>DE LA CONSEJERÍA DE MEDIO AMBIENTE, UNIVERSIDADES, INVESTIGACIÓN Y MAR MENOR POR LA QUE SE ESTABLECEN LAS BASES REGULADORAS DE SUBVENCIONES PARA LA FINANCIACIÓN DE LA ADAPTACIÓN DE LÍNEAS ELÉCTRICAS DE ALTA TENSIÓN A LOS REQUISITOS ESTABLECIDOS POR EL REAL DECRETO 1432/2008, DE 29 DE AGOSTO, PARA PERSONAS FÍSICAS O JURÍDICAS, EN EL MARCO EL PLAN DE RECUPERACIÓN, TRANSFORMACIÓN Y RESILENCIA FINANCIADAS CON CARGO AL MECANISMO DE RECUPERACIÓN Y RESILIENCIA, SE APRUEBA LA CONVOCATORIA Y SE AUTORIZA EL GASTO POR TRAMITACIÓN ANTICIPADA DE DICHAS AYUDAS CORRESPONDIENTE AL AÑO 2025</w:t>
      </w:r>
    </w:p>
    <w:p w:rsidR="00F900FD" w:rsidRPr="00742762" w:rsidRDefault="00F900FD" w:rsidP="00F900FD">
      <w:pPr>
        <w:pStyle w:val="Default"/>
        <w:jc w:val="both"/>
        <w:rPr>
          <w:i/>
          <w:color w:val="auto"/>
          <w:lang w:val="es-ES_tradnl"/>
        </w:rPr>
      </w:pPr>
    </w:p>
    <w:p w:rsidR="00F900FD" w:rsidRPr="00742762" w:rsidRDefault="00F900FD" w:rsidP="00F900FD">
      <w:pPr>
        <w:jc w:val="both"/>
        <w:rPr>
          <w:i/>
        </w:rPr>
      </w:pPr>
      <w:r w:rsidRPr="00742762">
        <w:rPr>
          <w:i/>
        </w:rPr>
        <w:t>Don/Doña …………………………………………………………………………………., DNI ……………………….., como Consejero Delegado/Gerente/ de la entidad …………………………………………………………………………………………………………..., con NIF …………………………., y domicilio fiscal en ……………………………………………………………………………………. ……………………………………………………………………………………………………………………………………………………………………………………., en el desarrollo de actuaciones necesarias para la consecución de los objetivos definidos en el Componente 4 “CONSERVACIÓN Y RESTAURACIÓN DE ECOSISTEMAS MARINOS Y TERRESTRES Y SU BIODIVERSIDAD”, se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F900FD" w:rsidRPr="00742762" w:rsidRDefault="00F900FD" w:rsidP="00F900FD">
      <w:pPr>
        <w:jc w:val="both"/>
        <w:rPr>
          <w:i/>
        </w:rPr>
      </w:pPr>
      <w:r w:rsidRPr="00742762">
        <w:rPr>
          <w:i/>
        </w:rPr>
        <w:t>Adicionalmente, atendiendo al contenido del PRTR, se compromete a respetar los principios de economía circular y evitar impactos negativos significativos en el medio ambiente («DNSH» por sus siglas en inglés «</w:t>
      </w:r>
      <w:r w:rsidRPr="00742762">
        <w:rPr>
          <w:i/>
          <w:iCs/>
        </w:rPr>
        <w:t xml:space="preserve">do no </w:t>
      </w:r>
      <w:proofErr w:type="spellStart"/>
      <w:r w:rsidRPr="00742762">
        <w:rPr>
          <w:i/>
          <w:iCs/>
        </w:rPr>
        <w:t>significant</w:t>
      </w:r>
      <w:proofErr w:type="spellEnd"/>
      <w:r w:rsidRPr="00742762">
        <w:rPr>
          <w:i/>
          <w:iCs/>
        </w:rPr>
        <w:t xml:space="preserve"> </w:t>
      </w:r>
      <w:proofErr w:type="spellStart"/>
      <w:r w:rsidRPr="00742762">
        <w:rPr>
          <w:i/>
          <w:iCs/>
        </w:rPr>
        <w:t>harm</w:t>
      </w:r>
      <w:proofErr w:type="spellEnd"/>
      <w:r w:rsidRPr="00742762">
        <w:rPr>
          <w:i/>
        </w:rPr>
        <w:t>») en la ejecución de las actuaciones llevadas a cabo en el marco de dicho Plan, y manifiesta que no incurre en doble financiación en el marco de las competencias de la Dirección General de Medio Natural y que, en su caso, no le consta riesgo de incompatibilidad con el régimen de ayudas de Estado.</w:t>
      </w:r>
    </w:p>
    <w:p w:rsidR="00F900FD" w:rsidRPr="00742762" w:rsidRDefault="00F900FD" w:rsidP="00F900FD">
      <w:pPr>
        <w:jc w:val="both"/>
        <w:rPr>
          <w:i/>
        </w:rPr>
      </w:pPr>
      <w:r w:rsidRPr="00742762">
        <w:rPr>
          <w:i/>
        </w:rPr>
        <w:t xml:space="preserve"> En concreto, en relación con el principio DNSH, declara que cumple lo siguiente: </w:t>
      </w:r>
    </w:p>
    <w:p w:rsidR="00F900FD" w:rsidRPr="00742762" w:rsidRDefault="00F900FD" w:rsidP="00F900FD">
      <w:pPr>
        <w:jc w:val="both"/>
        <w:rPr>
          <w:i/>
        </w:rPr>
      </w:pPr>
      <w:r w:rsidRPr="00742762">
        <w:rPr>
          <w:i/>
        </w:rPr>
        <w:t xml:space="preserve">A. Las actividades que se desarrollen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medioambientales sostenibles: </w:t>
      </w:r>
    </w:p>
    <w:p w:rsidR="00F900FD" w:rsidRPr="00742762" w:rsidRDefault="00F900FD" w:rsidP="00F900FD">
      <w:pPr>
        <w:ind w:left="708"/>
        <w:jc w:val="both"/>
        <w:rPr>
          <w:i/>
        </w:rPr>
      </w:pPr>
      <w:r w:rsidRPr="00742762">
        <w:rPr>
          <w:i/>
        </w:rPr>
        <w:t xml:space="preserve">1. Mitigación del cambio climático </w:t>
      </w:r>
    </w:p>
    <w:p w:rsidR="00F900FD" w:rsidRPr="00742762" w:rsidRDefault="00F900FD" w:rsidP="00F900FD">
      <w:pPr>
        <w:ind w:left="708"/>
        <w:jc w:val="both"/>
        <w:rPr>
          <w:i/>
        </w:rPr>
      </w:pPr>
      <w:r w:rsidRPr="00742762">
        <w:rPr>
          <w:i/>
        </w:rPr>
        <w:t xml:space="preserve">2. Adaptación al cambio climático </w:t>
      </w:r>
    </w:p>
    <w:p w:rsidR="00F900FD" w:rsidRPr="00742762" w:rsidRDefault="00F900FD" w:rsidP="00F900FD">
      <w:pPr>
        <w:ind w:left="708"/>
        <w:jc w:val="both"/>
        <w:rPr>
          <w:i/>
        </w:rPr>
      </w:pPr>
      <w:r w:rsidRPr="00742762">
        <w:rPr>
          <w:i/>
        </w:rPr>
        <w:t xml:space="preserve">3. Uso sostenible y protección de los recursos hídricos y marinos </w:t>
      </w:r>
    </w:p>
    <w:p w:rsidR="00F900FD" w:rsidRPr="00742762" w:rsidRDefault="00F900FD" w:rsidP="00F900FD">
      <w:pPr>
        <w:ind w:left="708"/>
        <w:jc w:val="both"/>
        <w:rPr>
          <w:i/>
        </w:rPr>
      </w:pPr>
      <w:r w:rsidRPr="00742762">
        <w:rPr>
          <w:i/>
        </w:rPr>
        <w:lastRenderedPageBreak/>
        <w:t xml:space="preserve">4. Economía circular, incluidos la prevención y el reciclado de residuos </w:t>
      </w:r>
    </w:p>
    <w:p w:rsidR="00F900FD" w:rsidRPr="00742762" w:rsidRDefault="00F900FD" w:rsidP="00F900FD">
      <w:pPr>
        <w:ind w:left="708"/>
        <w:jc w:val="both"/>
        <w:rPr>
          <w:i/>
        </w:rPr>
      </w:pPr>
      <w:r w:rsidRPr="00742762">
        <w:rPr>
          <w:i/>
        </w:rPr>
        <w:t xml:space="preserve">5. Prevención y control de la contaminación a la atmósfera, el agua o el suelo </w:t>
      </w:r>
    </w:p>
    <w:p w:rsidR="00F900FD" w:rsidRPr="00742762" w:rsidRDefault="00F900FD" w:rsidP="00F900FD">
      <w:pPr>
        <w:ind w:left="708"/>
        <w:jc w:val="both"/>
        <w:rPr>
          <w:i/>
        </w:rPr>
      </w:pPr>
      <w:r w:rsidRPr="00742762">
        <w:rPr>
          <w:i/>
        </w:rPr>
        <w:t xml:space="preserve">6. Protección y restauración de la biodiversidad y los ecosistemas. </w:t>
      </w:r>
    </w:p>
    <w:p w:rsidR="00F900FD" w:rsidRPr="00742762" w:rsidRDefault="00F900FD" w:rsidP="00F900FD">
      <w:pPr>
        <w:jc w:val="both"/>
        <w:rPr>
          <w:i/>
        </w:rPr>
      </w:pPr>
      <w:r w:rsidRPr="00742762">
        <w:rPr>
          <w:i/>
        </w:rPr>
        <w:t xml:space="preserve">B. Las actividades se adecúan, a las características y condiciones fijadas para la medida y </w:t>
      </w:r>
      <w:proofErr w:type="spellStart"/>
      <w:r w:rsidRPr="00742762">
        <w:rPr>
          <w:i/>
        </w:rPr>
        <w:t>submedida</w:t>
      </w:r>
      <w:proofErr w:type="spellEnd"/>
      <w:r w:rsidRPr="00742762">
        <w:rPr>
          <w:i/>
        </w:rPr>
        <w:t xml:space="preserve"> de la componente y reflejadas en el Plan de Recuperación, Transformación y Resiliencia. </w:t>
      </w:r>
    </w:p>
    <w:p w:rsidR="00F900FD" w:rsidRPr="00742762" w:rsidRDefault="00F900FD" w:rsidP="00F900FD">
      <w:pPr>
        <w:jc w:val="both"/>
        <w:rPr>
          <w:i/>
        </w:rPr>
      </w:pPr>
      <w:r w:rsidRPr="00742762">
        <w:rPr>
          <w:i/>
        </w:rPr>
        <w:t xml:space="preserve">C. Las actividades que se desarrollan cumplirán la normativa medioambiental vigente que resulte de aplicación. </w:t>
      </w:r>
    </w:p>
    <w:p w:rsidR="00F900FD" w:rsidRPr="00742762" w:rsidRDefault="00F900FD" w:rsidP="00F900FD">
      <w:pPr>
        <w:jc w:val="both"/>
        <w:rPr>
          <w:i/>
        </w:rPr>
      </w:pPr>
      <w:r w:rsidRPr="00742762">
        <w:rPr>
          <w:i/>
        </w:rPr>
        <w:t xml:space="preserve">D. Las actividades que se desarrollan no están excluidas para su financiación por el Plan al no cumplir el principio DNSH conforme a la Guía técnica sobre la aplicación del principio de no causar daño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 </w:t>
      </w:r>
    </w:p>
    <w:p w:rsidR="00F900FD" w:rsidRPr="00742762" w:rsidRDefault="00F900FD" w:rsidP="00F900FD">
      <w:pPr>
        <w:ind w:left="708"/>
        <w:jc w:val="both"/>
        <w:rPr>
          <w:i/>
        </w:rPr>
      </w:pPr>
      <w:r w:rsidRPr="00742762">
        <w:rPr>
          <w:i/>
        </w:rPr>
        <w:t xml:space="preserve">1. Construcción de refinerías de crudo, centrales térmicas de carbón y proyectos que impliquen la extracción de petróleo o gas natural, debido al perjuicio al objetivo de mitigación del cambio climático. </w:t>
      </w:r>
    </w:p>
    <w:p w:rsidR="00F900FD" w:rsidRPr="00742762" w:rsidRDefault="00F900FD" w:rsidP="00F900FD">
      <w:pPr>
        <w:ind w:left="708"/>
        <w:jc w:val="both"/>
        <w:rPr>
          <w:i/>
        </w:rPr>
      </w:pPr>
      <w:r w:rsidRPr="00742762">
        <w:rPr>
          <w:i/>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rsidR="00F900FD" w:rsidRPr="00742762" w:rsidRDefault="00F900FD" w:rsidP="00F900FD">
      <w:pPr>
        <w:ind w:left="708"/>
        <w:jc w:val="both"/>
        <w:rPr>
          <w:i/>
        </w:rPr>
      </w:pPr>
      <w:r w:rsidRPr="00742762">
        <w:rPr>
          <w:i/>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rsidR="00F900FD" w:rsidRPr="00742762" w:rsidRDefault="00F900FD" w:rsidP="00F900FD">
      <w:pPr>
        <w:ind w:left="708"/>
        <w:jc w:val="both"/>
        <w:rPr>
          <w:i/>
        </w:rPr>
      </w:pPr>
      <w:r w:rsidRPr="00742762">
        <w:rPr>
          <w:i/>
        </w:rPr>
        <w:t xml:space="preserve">4. Compensación de los costes indirectos del RCDE. </w:t>
      </w:r>
    </w:p>
    <w:p w:rsidR="00F900FD" w:rsidRPr="00742762" w:rsidRDefault="00F900FD" w:rsidP="00F900FD">
      <w:pPr>
        <w:ind w:left="708"/>
        <w:jc w:val="both"/>
        <w:rPr>
          <w:i/>
        </w:rPr>
      </w:pPr>
      <w:r w:rsidRPr="00742762">
        <w:rPr>
          <w:i/>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rsidR="00F900FD" w:rsidRPr="00742762" w:rsidRDefault="00F900FD" w:rsidP="00F900FD">
      <w:pPr>
        <w:ind w:left="708"/>
        <w:jc w:val="both"/>
        <w:rPr>
          <w:i/>
        </w:rPr>
      </w:pPr>
      <w:r w:rsidRPr="00742762">
        <w:rPr>
          <w:i/>
        </w:rPr>
        <w:t xml:space="preserve">6. 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w:t>
      </w:r>
      <w:r w:rsidRPr="00742762">
        <w:rPr>
          <w:i/>
        </w:rPr>
        <w:lastRenderedPageBreak/>
        <w:t xml:space="preserve">compostaje y la digestión anaerobia de </w:t>
      </w:r>
      <w:proofErr w:type="spellStart"/>
      <w:r w:rsidRPr="00742762">
        <w:rPr>
          <w:i/>
        </w:rPr>
        <w:t>biorresiduos</w:t>
      </w:r>
      <w:proofErr w:type="spellEnd"/>
      <w:r w:rsidRPr="00742762">
        <w:rPr>
          <w:i/>
        </w:rPr>
        <w:t xml:space="preserve">, siempre que tales acciones no conlleven un aumento de la capacidad de tratamiento de residuos de las plantas o a una prolongación de su vida útil; estos pormenores deberán justificarse documentalmente para cada planta. </w:t>
      </w:r>
    </w:p>
    <w:p w:rsidR="00F900FD" w:rsidRPr="00742762" w:rsidRDefault="00F900FD" w:rsidP="00F900FD">
      <w:pPr>
        <w:ind w:left="708"/>
        <w:jc w:val="both"/>
        <w:rPr>
          <w:i/>
        </w:rPr>
      </w:pPr>
      <w:r w:rsidRPr="00742762">
        <w:rPr>
          <w:i/>
        </w:rPr>
        <w:t xml:space="preserve">7. Actividades en las que la eliminación a largo plazo de residuos pueda causar daños al medio ambiente. </w:t>
      </w:r>
    </w:p>
    <w:p w:rsidR="00F900FD" w:rsidRPr="00742762" w:rsidRDefault="00F900FD" w:rsidP="00F900FD">
      <w:pPr>
        <w:jc w:val="both"/>
        <w:rPr>
          <w:i/>
        </w:rPr>
      </w:pPr>
      <w:r w:rsidRPr="00742762">
        <w:rPr>
          <w:i/>
        </w:rPr>
        <w:t xml:space="preserve">E. Las actividades que se desarrollan no causan efectos directos sobre el medioambiente, ni efectos indirectos primarios en todo su ciclo de vida, entendiendo como tales aquellos que pudieran materializarse tras su finalización, una vez realizada la actividad. </w:t>
      </w:r>
    </w:p>
    <w:p w:rsidR="00F900FD" w:rsidRPr="00742762" w:rsidRDefault="00F900FD" w:rsidP="00F900FD">
      <w:pPr>
        <w:jc w:val="both"/>
        <w:rPr>
          <w:i/>
        </w:rPr>
      </w:pPr>
      <w:r w:rsidRPr="00742762">
        <w:rPr>
          <w:i/>
        </w:rPr>
        <w:t>El incumplimiento de alguno de los requisitos establecidos en la presente declaración dará lugar a la obligación de devolver las cantidades percibidas y los intereses de demora correspondientes.</w:t>
      </w:r>
    </w:p>
    <w:p w:rsidR="00F900FD" w:rsidRPr="00742762" w:rsidRDefault="00F900FD" w:rsidP="00F900FD">
      <w:pPr>
        <w:spacing w:line="256" w:lineRule="auto"/>
        <w:ind w:left="708" w:hanging="708"/>
        <w:jc w:val="center"/>
        <w:rPr>
          <w:b/>
          <w:i/>
          <w:iCs/>
        </w:rPr>
      </w:pPr>
      <w:r w:rsidRPr="00742762">
        <w:rPr>
          <w:b/>
          <w:i/>
          <w:iCs/>
        </w:rPr>
        <w:t>En…………………………., a…....de……………………de 202</w:t>
      </w:r>
    </w:p>
    <w:p w:rsidR="00F900FD" w:rsidRPr="00742762" w:rsidRDefault="00F900FD" w:rsidP="00F900FD">
      <w:pPr>
        <w:spacing w:line="256" w:lineRule="auto"/>
        <w:ind w:left="708" w:hanging="708"/>
        <w:jc w:val="center"/>
        <w:rPr>
          <w:b/>
          <w:i/>
          <w:iCs/>
          <w:sz w:val="8"/>
          <w:szCs w:val="8"/>
        </w:rPr>
      </w:pPr>
    </w:p>
    <w:p w:rsidR="00F900FD" w:rsidRPr="00742762" w:rsidRDefault="00F900FD" w:rsidP="00F900FD">
      <w:pPr>
        <w:spacing w:line="256" w:lineRule="auto"/>
        <w:ind w:left="708" w:firstLine="2411"/>
        <w:rPr>
          <w:b/>
          <w:i/>
          <w:iCs/>
        </w:rPr>
      </w:pPr>
      <w:r w:rsidRPr="00742762">
        <w:rPr>
          <w:b/>
          <w:i/>
          <w:iCs/>
        </w:rPr>
        <w:t xml:space="preserve">Fdo. </w:t>
      </w:r>
    </w:p>
    <w:p w:rsidR="00F900FD" w:rsidRPr="00742762" w:rsidRDefault="00F900FD" w:rsidP="00F900FD">
      <w:pPr>
        <w:spacing w:line="256" w:lineRule="auto"/>
        <w:ind w:left="708" w:hanging="708"/>
        <w:jc w:val="center"/>
        <w:rPr>
          <w:b/>
          <w:i/>
          <w:iCs/>
          <w:sz w:val="12"/>
          <w:szCs w:val="12"/>
        </w:rPr>
      </w:pPr>
    </w:p>
    <w:p w:rsidR="00F900FD" w:rsidRPr="00742762" w:rsidRDefault="00F900FD" w:rsidP="00F900FD">
      <w:pPr>
        <w:spacing w:line="256" w:lineRule="auto"/>
        <w:ind w:left="708" w:firstLine="2411"/>
        <w:rPr>
          <w:b/>
          <w:i/>
          <w:iCs/>
        </w:rPr>
      </w:pPr>
      <w:r w:rsidRPr="00742762">
        <w:rPr>
          <w:b/>
          <w:i/>
          <w:iCs/>
        </w:rPr>
        <w:t xml:space="preserve">Cargo: </w:t>
      </w:r>
    </w:p>
    <w:p w:rsidR="00886153" w:rsidRDefault="00F900FD"/>
    <w:sectPr w:rsidR="0088615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FD" w:rsidRDefault="00F900FD" w:rsidP="00F900FD">
      <w:pPr>
        <w:spacing w:after="0" w:line="240" w:lineRule="auto"/>
      </w:pPr>
      <w:r>
        <w:separator/>
      </w:r>
    </w:p>
  </w:endnote>
  <w:endnote w:type="continuationSeparator" w:id="0">
    <w:p w:rsidR="00F900FD" w:rsidRDefault="00F900FD" w:rsidP="00F9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Albertina">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FD" w:rsidRDefault="00F900FD" w:rsidP="00F900FD">
      <w:pPr>
        <w:spacing w:after="0" w:line="240" w:lineRule="auto"/>
      </w:pPr>
      <w:r>
        <w:separator/>
      </w:r>
    </w:p>
  </w:footnote>
  <w:footnote w:type="continuationSeparator" w:id="0">
    <w:p w:rsidR="00F900FD" w:rsidRDefault="00F900FD" w:rsidP="00F9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Encabezado"/>
    </w:pPr>
    <w:bookmarkStart w:id="0" w:name="_GoBack"/>
    <w:r w:rsidRPr="00E05712">
      <w:rPr>
        <w:rFonts w:ascii="Calibri" w:eastAsia="Times New Roman" w:hAnsi="Calibri" w:cs="Times New Roman"/>
        <w:noProof/>
        <w:lang w:eastAsia="es-ES"/>
      </w:rPr>
      <w:drawing>
        <wp:anchor distT="0" distB="0" distL="114300" distR="114300" simplePos="0" relativeHeight="251659264" behindDoc="0" locked="0" layoutInCell="1" allowOverlap="1" wp14:anchorId="640823C1" wp14:editId="27508C94">
          <wp:simplePos x="0" y="0"/>
          <wp:positionH relativeFrom="margin">
            <wp:align>center</wp:align>
          </wp:positionH>
          <wp:positionV relativeFrom="paragraph">
            <wp:posOffset>-173163</wp:posOffset>
          </wp:positionV>
          <wp:extent cx="6642201" cy="44513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642201" cy="445135"/>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FD" w:rsidRDefault="00F900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FD"/>
    <w:rsid w:val="00B379A1"/>
    <w:rsid w:val="00F900FD"/>
    <w:rsid w:val="00FE6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057F6FE-B496-4468-976B-5616C8D6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0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900FD"/>
    <w:pPr>
      <w:autoSpaceDE w:val="0"/>
      <w:autoSpaceDN w:val="0"/>
      <w:adjustRightInd w:val="0"/>
      <w:spacing w:after="0" w:line="240" w:lineRule="auto"/>
    </w:pPr>
    <w:rPr>
      <w:rFonts w:ascii="EUAlbertina" w:eastAsia="Calibri" w:hAnsi="EUAlbertina" w:cs="EUAlbertina"/>
      <w:color w:val="000000"/>
      <w:sz w:val="24"/>
      <w:szCs w:val="24"/>
    </w:rPr>
  </w:style>
  <w:style w:type="paragraph" w:styleId="Encabezado">
    <w:name w:val="header"/>
    <w:basedOn w:val="Normal"/>
    <w:link w:val="EncabezadoCar"/>
    <w:uiPriority w:val="99"/>
    <w:unhideWhenUsed/>
    <w:rsid w:val="00F900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0FD"/>
  </w:style>
  <w:style w:type="paragraph" w:styleId="Piedepgina">
    <w:name w:val="footer"/>
    <w:basedOn w:val="Normal"/>
    <w:link w:val="PiedepginaCar"/>
    <w:uiPriority w:val="99"/>
    <w:unhideWhenUsed/>
    <w:rsid w:val="00F900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GASTEAZI, LOURDES</dc:creator>
  <cp:keywords/>
  <dc:description/>
  <cp:lastModifiedBy>MORENO GASTEAZI, LOURDES</cp:lastModifiedBy>
  <cp:revision>1</cp:revision>
  <dcterms:created xsi:type="dcterms:W3CDTF">2024-12-20T12:11:00Z</dcterms:created>
  <dcterms:modified xsi:type="dcterms:W3CDTF">2024-12-20T12:12:00Z</dcterms:modified>
</cp:coreProperties>
</file>